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30/65-2026-036</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Neubau Grundschule Grebben/Aufzugsanlage</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Das 2-geschossige Gebäudetragwerk wird in Stahlbeton geplant. Die
innenliegenden Flurwände werden in Sichtbeton hergestellt. Die vertikalen
Lasten werden im Wesentlichen ohne Abfangkonstruktionen in die
Gründungsbauteile eingeleitet. Sämtliche Treppenhäuser und
Erschließungsschächte werden als gebäudeaussteifende Kerne in
Massivbauweise geplant. Über die Deckenscheiben werden die
Horizontallasten geschossweise in die Wandscheiben weitergeleitet. Der
große Mensabereich kann ohne Unterzüge realisiert werden, die
Geschossdecke wird über Rundstützen im EG und dem wandartigen Träger
im OG abgefangen.
Bauabschnitte
Die Umsetzung erfolgt in 2 Bauabschnitten. Der Neubau wird auf dem
nördlichen Grundstücksteil erstellt. Während der Bauphase wird das südliche
Grundstücksteil mit dem Bestandgebäude durch einen Bauzaun abgetrennt.
Die Zugänge zur Bestandsschule und der Sporthalle sind frei zugänglich.
Nach Fertigstellung des Neubaus erfolgt der Abriss des Bestandsgebäudes
und die Ergänzung der südlichen Freiflächen.
Kennzahlen
BGF Bruttogeschossfläche: ca. 3.541m2
BRI Bruttorauminhalt: ca. 15.639m3</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